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numbers-5"/>
    <w:p>
      <w:pPr>
        <w:pStyle w:val="Heading1"/>
      </w:pPr>
      <w:r>
        <w:t xml:space="preserve">Homiletics Analysis: Numbers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Numbers 5 addresses three distinct but thematically unified concerns within the camp of Israel as the nation prepares to move from Sinai toward Canaan. The first section (vv. 1–4) commands the removal of the ritually unclean — those with skin diseases, bodily discharges, or corpse-contamination — from the camp. The second section (vv. 5–10) addresses the restitution law for wrongs committed against a neighbor, extending the logic of Leviticus 6 and requiring full restitution plus a twenty-percent penalty, with the restitution rendered to the LORD through the priest when the wronged party has no surviving kinsman. The third and longest section (vv. 11–31) prescribes the sotah (suspected adultery) ordeal — an elaborate ritual in which a wife suspected of infidelity by her husband is brought before the priest, who administers bitter water that, if she is guilty, will cause physical harm, and if innocent, will leave her unharmed and fertile. These three sections are not a random collection of laws. They share a single organizing concern: the holiness of the LORD’s dwelling in the midst of His people, and the concrete social and ritual structures required to maintain it. The movement is from physical defilement (vv. 1–4), to moral defilement through hidden sin against a neighbor (vv. 5–10), to the deepest relational defilement — suspected covenant-breaking within the most intimate human relationship (vv. 11–31).</w:t>
      </w:r>
    </w:p>
    <w:p>
      <w:pPr>
        <w:pStyle w:val="BodyText"/>
      </w:pPr>
      <w:r>
        <w:rPr>
          <w:b/>
          <w:bCs/>
        </w:rPr>
        <w:t xml:space="preserve">This Text — Intent</w:t>
      </w:r>
    </w:p>
    <w:p>
      <w:pPr>
        <w:pStyle w:val="BodyText"/>
      </w:pPr>
      <w:r>
        <w:t xml:space="preserve">God is not merely issuing procedural regulations here. Through this chapter, God is pressing upon Israel a profound and sobering reality: He genuinely dwells among them, His presence is not ceremonial, and the holiness He requires is total — extending to their bodies, their financial integrity, their marriages, and their hidden sins. The intent is not to terrify but to form — to reshape Israel’s imagination about what it means to live as a people among whom the living God has pitched His tent. The sotah ordeal in particular functions to place hidden sin, unknowable to any human court, directly before the jurisdiction of God. It is not magic — it is a public acknowledgment that God sees what no judge can see. The chapter as a whole is calling Israel to understand that proximity to holiness is not a privilege to be presumed but a reality to be taken with absolute seriousness, and that God has graciously provided structures — not to burden His people but to preserve them and preserve His presence among them.</w:t>
      </w:r>
    </w:p>
    <w:p>
      <w:r>
        <w:pict>
          <v:rect style="width:0;height:1.5pt" o:hralign="center" o:hrstd="t" o:hr="t"/>
        </w:pict>
      </w:r>
    </w:p>
    <w:p>
      <w:pPr>
        <w:pStyle w:val="FirstParagraph"/>
      </w:pPr>
      <w:r>
        <w:rPr>
          <w:b/>
          <w:bCs/>
        </w:rPr>
        <w:t xml:space="preserve">Subject Sentence:</w:t>
      </w:r>
      <w:r>
        <w:t xml:space="preserve"> </w:t>
      </w:r>
      <w:r>
        <w:t xml:space="preserve">God’s dwelling among His people demands and enables complete holiness — outward, moral, and relational.</w:t>
      </w:r>
    </w:p>
    <w:p>
      <w:r>
        <w:pict>
          <v:rect style="width:0;height:1.5pt" o:hralign="center" o:hrstd="t" o:hr="t"/>
        </w:pict>
      </w:r>
    </w:p>
    <w:p>
      <w:pPr>
        <w:pStyle w:val="FirstParagraph"/>
      </w:pPr>
      <w:r>
        <w:rPr>
          <w:b/>
          <w:bCs/>
        </w:rPr>
        <w:t xml:space="preserve">Primary Claim:</w:t>
      </w:r>
      <w:r>
        <w:t xml:space="preserve"> </w:t>
      </w:r>
      <w:r>
        <w:t xml:space="preserve">The LORD who dwells in Israel’s midst is not a distant or indifferent deity — His presence is holy, His jurisdiction total, and His provision of cleansing structures an act of grace that protects both His people and His nearness to them. Israel must reckon with the full weight of what it means to live under the immediate rule of a holy God, and trust that the structures He provides are mercy, not burden.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Exclusion of the Unclean (vv. 1–4)</w:t>
      </w:r>
    </w:p>
    <w:p>
      <w:pPr>
        <w:pStyle w:val="BodyText"/>
      </w:pPr>
      <w:r>
        <w:t xml:space="preserve">The exclusion of the ritually unclean from the camp has sometimes been read through a hygiene lens — as if the driving concern is public health or social management of disease. This reading is understandable but insufficient. The text is explicit: the unclean are excluded</w:t>
      </w:r>
      <w:r>
        <w:t xml:space="preserve"> </w:t>
      </w:r>
      <w:r>
        <w:t xml:space="preserve">“so that they will not defile their camps, where I dwell among them”</w:t>
      </w:r>
      <w:r>
        <w:t xml:space="preserve"> </w:t>
      </w:r>
      <w:r>
        <w:t xml:space="preserve">(v. 3). The reason is theological, not epidemiological. The categories of uncleanness here — skin disease, discharge, corpse-contamination — are not primarily about contagion but about contact with the realm of death and physical dissolution, which stands in categorical opposition to the holiness and life-giving character of the LORD who dwells in the camp. The Reformed reading, following the Levitical purity system as a whole, understands these categories as enacted theology: Israel is being formed to understand holiness as categorically distinct from death and decay, and the camp as a zone where life — the LORD’s life — governs.</w:t>
      </w:r>
    </w:p>
    <w:p>
      <w:pPr>
        <w:pStyle w:val="BodyText"/>
      </w:pPr>
      <w:r>
        <w:t xml:space="preserve">A Dispensational reading might view this as purely Mosaic legislation without direct application, applying only to Israel in the wilderness period. This reading should be</w:t>
      </w:r>
      <w:r>
        <w:t xml:space="preserve"> </w:t>
      </w:r>
      <w:r>
        <w:rPr>
          <w:i/>
          <w:iCs/>
        </w:rPr>
        <w:t xml:space="preserve">qualified</w:t>
      </w:r>
      <w:r>
        <w:t xml:space="preserve">: the specific ritual structures are indeed Mosaic and not directly transferred to the new covenant community. But the theological logic — that God’s dwelling presence requires holiness and that defilement must be addressed, not tolerated — is not merely Mosaic. It reappears in 1 Corinthians 3:16–17, 2 Corinthians 6:16, and Ephesians 2:21–22, applied to the church as God’s temple.</w:t>
      </w:r>
    </w:p>
    <w:p>
      <w:pPr>
        <w:pStyle w:val="BodyText"/>
      </w:pPr>
      <w:r>
        <w:rPr>
          <w:b/>
          <w:bCs/>
        </w:rPr>
        <w:t xml:space="preserve">The Restitution Law (vv. 5–10)</w:t>
      </w:r>
    </w:p>
    <w:p>
      <w:pPr>
        <w:pStyle w:val="BodyText"/>
      </w:pPr>
      <w:r>
        <w:t xml:space="preserve">The most significant interpretive observation in this section is the framing of wrong done to a neighbor as</w:t>
      </w:r>
      <w:r>
        <w:t xml:space="preserve"> </w:t>
      </w:r>
      <w:r>
        <w:t xml:space="preserve">“unfaithfulness against the LORD”</w:t>
      </w:r>
      <w:r>
        <w:t xml:space="preserve"> </w:t>
      </w:r>
      <w:r>
        <w:t xml:space="preserve">(v. 6). Wesleyan/Arminian and Baptist traditions sometimes read the law sections of Numbers primarily as ethical prescriptions — guidelines for righteous living. This reading</w:t>
      </w:r>
      <w:r>
        <w:t xml:space="preserve"> </w:t>
      </w:r>
      <w:r>
        <w:rPr>
          <w:i/>
          <w:iCs/>
        </w:rPr>
        <w:t xml:space="preserve">acknowledges</w:t>
      </w:r>
      <w:r>
        <w:t xml:space="preserve"> </w:t>
      </w:r>
      <w:r>
        <w:t xml:space="preserve">a genuine insight: the passage does have direct ethical content. But it understates the theological weight of the framing. The text does not say merely that wronging a neighbor is unjust — it says it is covenant infidelity toward God Himself. This is a significant move: social sin is not a horizontal matter only. It is simultaneously a vertical offense. The Reformed reading, grounded in the covenant structure, insists that this framing is not incidental. Israel’s social ethics are not independent of their covenant relationship with God — they are expressions of it. To defraud a neighbor is to break faith with the LORD who commanded otherwise.</w:t>
      </w:r>
    </w:p>
    <w:p>
      <w:pPr>
        <w:pStyle w:val="BodyText"/>
      </w:pPr>
      <w:r>
        <w:t xml:space="preserve">The requirement that restitution be made to the LORD through the priest when the wronged party has no kinsman-redeemer (v. 8) is not a cynical transfer of assets to the priesthood. It reflects the covenant logic that the LORD is Himself the ultimate kinsman-redeemer when no human one exists. The restitution is not lost — it is rendered to the One who stands in for the absent guardian.</w:t>
      </w:r>
    </w:p>
    <w:p>
      <w:pPr>
        <w:pStyle w:val="BodyText"/>
      </w:pPr>
      <w:r>
        <w:rPr>
          <w:b/>
          <w:bCs/>
        </w:rPr>
        <w:t xml:space="preserve">The Sotah Ordeal (vv. 11–31)</w:t>
      </w:r>
    </w:p>
    <w:p>
      <w:pPr>
        <w:pStyle w:val="BodyText"/>
      </w:pPr>
      <w:r>
        <w:t xml:space="preserve">This is the passage’s most contested section, and the interpretive challenges are real. Three positions require evaluation:</w:t>
      </w:r>
    </w:p>
    <w:p>
      <w:pPr>
        <w:pStyle w:val="BodyText"/>
      </w:pPr>
      <w:r>
        <w:rPr>
          <w:i/>
          <w:iCs/>
        </w:rPr>
        <w:t xml:space="preserve">First</w:t>
      </w:r>
      <w:r>
        <w:t xml:space="preserve">, feminist and critical readings have characterized the sotah as evidence of patriarchal bias — a procedure applied only to wives suspected by husbands, with no corresponding procedure for husbands suspected by wives. This is worth engaging directly. The asymmetry is real and textually present. Several responses are necessary: (a) the ritual is not a punishment — it is an ordeal that</w:t>
      </w:r>
      <w:r>
        <w:t xml:space="preserve"> </w:t>
      </w:r>
      <w:r>
        <w:rPr>
          <w:i/>
          <w:iCs/>
        </w:rPr>
        <w:t xml:space="preserve">protects</w:t>
      </w:r>
      <w:r>
        <w:t xml:space="preserve"> </w:t>
      </w:r>
      <w:r>
        <w:t xml:space="preserve">the accused wife from vigilante violence or groundless divorce; (b) the procedure places the judgment entirely with God, removing it from the husband’s authority; (c) the context of ancient Near Eastern law, where suspected adultery typically resulted in immediate and harsh punishment of the accused, means that the sotah ordeal is significantly more protective of the woman than surrounding alternatives; (d) the text is clear that an innocent woman is fully vindicated and freed. Reformed exposition should neither paper over the textual asymmetry nor accept the modern critical conclusion that the passage is fundamentally unjust. The ordeal is a structure of protection within a specific cultural and covenantal context, designed to submit an otherwise humanly-unresolvable accusation to divine jurisdiction.</w:t>
      </w:r>
    </w:p>
    <w:p>
      <w:pPr>
        <w:pStyle w:val="BodyText"/>
      </w:pPr>
      <w:r>
        <w:rPr>
          <w:i/>
          <w:iCs/>
        </w:rPr>
        <w:t xml:space="preserve">Second</w:t>
      </w:r>
      <w:r>
        <w:t xml:space="preserve">, some Pentecostal/Charismatic interpreters have read the bitter water ordeal as a miraculous sign-gift, emphasizing the supernatural dimension. This reading</w:t>
      </w:r>
      <w:r>
        <w:t xml:space="preserve"> </w:t>
      </w:r>
      <w:r>
        <w:rPr>
          <w:i/>
          <w:iCs/>
        </w:rPr>
        <w:t xml:space="preserve">acknowledges</w:t>
      </w:r>
      <w:r>
        <w:t xml:space="preserve"> </w:t>
      </w:r>
      <w:r>
        <w:t xml:space="preserve">that the text does envision a supernatural outcome — the water is not merely symbolic. But it should be</w:t>
      </w:r>
      <w:r>
        <w:t xml:space="preserve"> </w:t>
      </w:r>
      <w:r>
        <w:rPr>
          <w:i/>
          <w:iCs/>
        </w:rPr>
        <w:t xml:space="preserve">qualified</w:t>
      </w:r>
      <w:r>
        <w:t xml:space="preserve">: the emphasis in the passage is not on the miraculous as such but on the judicial sovereignty of God. The point is not that God performs a miracle but that God sees and judges what no human court can adjudicate.</w:t>
      </w:r>
    </w:p>
    <w:p>
      <w:pPr>
        <w:pStyle w:val="BodyText"/>
      </w:pPr>
      <w:r>
        <w:rPr>
          <w:i/>
          <w:iCs/>
        </w:rPr>
        <w:t xml:space="preserve">Third</w:t>
      </w:r>
      <w:r>
        <w:t xml:space="preserve">, and most important for Reformed exposition, there is a significant question about whether the sotah ordeal anticipates, typologically or analogically, Israel’s own unfaithfulness to the LORD as her husband-covenant-God. This connection is explicitly drawn in the prophets — Hosea, Jeremiah, and Ezekiel all use the marriage metaphor to describe Israel’s covenant relationship and Israel’s adultery (idolatry) against the LORD. Numbers 5 does not draw this connection explicitly, but it is not foreign to the passage — the word used for the wife’s unfaithfulness (מַעַל, ma’al) is the same word used in verse 6 for covenant unfaithfulness against God. The Reformed reading should note this canonical trajectory without over-reading it into the passage’s own argument.</w:t>
      </w:r>
    </w:p>
    <w:p>
      <w:pPr>
        <w:pStyle w:val="BodyText"/>
      </w:pPr>
      <w:r>
        <w:t xml:space="preserve">The</w:t>
      </w:r>
      <w:r>
        <w:t xml:space="preserve"> </w:t>
      </w:r>
      <w:r>
        <w:rPr>
          <w:b/>
          <w:bCs/>
        </w:rPr>
        <w:t xml:space="preserve">Reformed verdict</w:t>
      </w:r>
      <w:r>
        <w:t xml:space="preserve"> </w:t>
      </w:r>
      <w:r>
        <w:t xml:space="preserve">across all three sections: Numbers 5 is a coherent unit organized around the holiness of the LORD’s presence in the camp. Its structures — exclusion of the unclean, restitution for social sin, and the sotah ordeal — are not arbitrary ritual regulations but graced provisions that preserve both holiness and community. The chapter’s theology anticipates the New Testament’s application of indwelling presence and holiness to the church (1 Corinthians 3, 2 Corinthians 6–7, Revelation 21:27).</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15–16</w:t>
      </w:r>
      <w:r>
        <w:t xml:space="preserve"> </w:t>
      </w:r>
      <w:r>
        <w:t xml:space="preserve">— Establishes the Levitical purity system within which Numbers 5’s exclusion regulations operate; the Day of Atonement logic grounds the defilement/cleansing framework this chapter presupposes.</w:t>
      </w:r>
    </w:p>
    <w:p>
      <w:pPr>
        <w:numPr>
          <w:ilvl w:val="0"/>
          <w:numId w:val="1001"/>
        </w:numPr>
      </w:pPr>
      <w:r>
        <w:rPr>
          <w:b/>
          <w:bCs/>
        </w:rPr>
        <w:t xml:space="preserve">1 Corinthians 3:16–17</w:t>
      </w:r>
      <w:r>
        <w:t xml:space="preserve"> </w:t>
      </w:r>
      <w:r>
        <w:t xml:space="preserve">— Paul applies the logic of God’s dwelling-presence holiness directly to the church:</w:t>
      </w:r>
      <w:r>
        <w:t xml:space="preserve"> </w:t>
      </w:r>
      <w:r>
        <w:t xml:space="preserve">“God’s temple is holy, and you are that temple.”</w:t>
      </w:r>
      <w:r>
        <w:t xml:space="preserve"> </w:t>
      </w:r>
      <w:r>
        <w:t xml:space="preserve">The theological principle that the holy God’s presence demands holiness in the community is explicitly transferred to the new covenant context.</w:t>
      </w:r>
    </w:p>
    <w:p>
      <w:pPr>
        <w:numPr>
          <w:ilvl w:val="0"/>
          <w:numId w:val="1001"/>
        </w:numPr>
      </w:pPr>
      <w:r>
        <w:rPr>
          <w:b/>
          <w:bCs/>
        </w:rPr>
        <w:t xml:space="preserve">Hosea 1–3</w:t>
      </w:r>
      <w:r>
        <w:t xml:space="preserve"> </w:t>
      </w:r>
      <w:r>
        <w:t xml:space="preserve">— The marriage metaphor for the LORD’s covenant with Israel is developed in detail; Israel’s idolatry is framed as sotah-like adultery against her covenant husband, grounding the canonical trajectory implicit in Numbers 5:11–31.</w:t>
      </w:r>
    </w:p>
    <w:p>
      <w:pPr>
        <w:numPr>
          <w:ilvl w:val="0"/>
          <w:numId w:val="1001"/>
        </w:numPr>
      </w:pPr>
      <w:r>
        <w:rPr>
          <w:b/>
          <w:bCs/>
        </w:rPr>
        <w:t xml:space="preserve">Romans 3:25–26</w:t>
      </w:r>
      <w:r>
        <w:t xml:space="preserve"> </w:t>
      </w:r>
      <w:r>
        <w:t xml:space="preserve">— God’s provision for sin, including hidden sin unknowable to human courts, is ultimately resolved not in the sotah ordeal but in the cross, where God is shown to be both just and the justifier. The Numbers 5 ordeal points forward to the final divine tribunal where all hidden things are brought to light and dealt with righteously.</w:t>
      </w:r>
    </w:p>
    <w:p>
      <w:pPr>
        <w:numPr>
          <w:ilvl w:val="0"/>
          <w:numId w:val="1001"/>
        </w:numPr>
      </w:pPr>
      <w:r>
        <w:rPr>
          <w:b/>
          <w:bCs/>
        </w:rPr>
        <w:t xml:space="preserve">Revelation 21:27</w:t>
      </w:r>
      <w:r>
        <w:t xml:space="preserve"> </w:t>
      </w:r>
      <w:r>
        <w:t xml:space="preserve">—</w:t>
      </w:r>
      <w:r>
        <w:t xml:space="preserve"> </w:t>
      </w:r>
      <w:r>
        <w:t xml:space="preserve">“Nothing impure will ever enter it”</w:t>
      </w:r>
      <w:r>
        <w:t xml:space="preserve"> </w:t>
      </w:r>
      <w:r>
        <w:t xml:space="preserve">— the eschatological holy city operates on the same logic as the holy camp: God’s presence is the governing reality, and holiness is not negotiable. Numbers 5 is an early, enacted form of this permanent principle.</w:t>
      </w:r>
    </w:p>
    <w:p>
      <w:r>
        <w:pict>
          <v:rect style="width:0;height:1.5pt" o:hralign="center" o:hrstd="t" o:hr="t"/>
        </w:pict>
      </w:r>
    </w:p>
    <w:p>
      <w:pPr>
        <w:pStyle w:val="FirstParagraph"/>
      </w:pPr>
      <w:r>
        <w:rPr>
          <w:b/>
          <w:bCs/>
        </w:rPr>
        <w:t xml:space="preserve">Aim:</w:t>
      </w:r>
      <w:r>
        <w:t xml:space="preserve"> </w:t>
      </w:r>
      <w:r>
        <w:t xml:space="preserve">To show that the structures God provides for dealing with defilement, sin, and hidden wrongdoing are not arbitrary impositions but gracious protections — and to call the reader to live with full seriousness and full confidence before the holy God who dwells near.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LORD commands Moses to remove from the camp those with skin diseases (צָרַעַת), bodily discharges (זָב), and corpse-contamination (טָמֵא לָנֶפֶשׁ).</w:t>
            </w:r>
          </w:p>
        </w:tc>
        <w:tc>
          <w:tcPr/>
          <w:p>
            <w:pPr>
              <w:pStyle w:val="Compact"/>
            </w:pPr>
            <w:r>
              <w:t xml:space="preserve">Three categories of uncleanness, each representing contact with death/dissolution.</w:t>
            </w:r>
          </w:p>
        </w:tc>
      </w:tr>
      <w:tr>
        <w:tc>
          <w:tcPr/>
          <w:p>
            <w:pPr>
              <w:pStyle w:val="Compact"/>
            </w:pPr>
            <w:r>
              <w:t xml:space="preserve">3</w:t>
            </w:r>
          </w:p>
        </w:tc>
        <w:tc>
          <w:tcPr/>
          <w:p>
            <w:pPr>
              <w:pStyle w:val="Compact"/>
            </w:pPr>
            <w:r>
              <w:t xml:space="preserve">The reason given:</w:t>
            </w:r>
            <w:r>
              <w:t xml:space="preserve"> </w:t>
            </w:r>
            <w:r>
              <w:t xml:space="preserve">“so that they will not defile their camps, where I dwell among them.”</w:t>
            </w:r>
          </w:p>
        </w:tc>
        <w:tc>
          <w:tcPr/>
          <w:p>
            <w:pPr>
              <w:pStyle w:val="Compact"/>
            </w:pPr>
            <w:r>
              <w:t xml:space="preserve">The reason is explicitly theological — God’s dwelling presence, not hygiene. This is the theological key to the whole chapter.</w:t>
            </w:r>
          </w:p>
        </w:tc>
      </w:tr>
      <w:tr>
        <w:tc>
          <w:tcPr/>
          <w:p>
            <w:pPr>
              <w:pStyle w:val="Compact"/>
            </w:pPr>
            <w:r>
              <w:t xml:space="preserve">4</w:t>
            </w:r>
          </w:p>
        </w:tc>
        <w:tc>
          <w:tcPr/>
          <w:p>
            <w:pPr>
              <w:pStyle w:val="Compact"/>
            </w:pPr>
            <w:r>
              <w:t xml:space="preserve">Israel complies —</w:t>
            </w:r>
            <w:r>
              <w:t xml:space="preserve"> </w:t>
            </w:r>
            <w:r>
              <w:t xml:space="preserve">“they did so.”</w:t>
            </w:r>
          </w:p>
        </w:tc>
        <w:tc>
          <w:tcPr/>
          <w:p>
            <w:pPr>
              <w:pStyle w:val="Compact"/>
            </w:pPr>
            <w:r>
              <w:t xml:space="preserve">Brief note of obedience. Immediate and uncontested compliance.</w:t>
            </w:r>
          </w:p>
        </w:tc>
      </w:tr>
      <w:tr>
        <w:tc>
          <w:tcPr/>
          <w:p>
            <w:pPr>
              <w:pStyle w:val="Compact"/>
            </w:pPr>
            <w:r>
              <w:t xml:space="preserve">5–6</w:t>
            </w:r>
          </w:p>
        </w:tc>
        <w:tc>
          <w:tcPr/>
          <w:p>
            <w:pPr>
              <w:pStyle w:val="Compact"/>
            </w:pPr>
            <w:r>
              <w:t xml:space="preserve">The LORD establishes that wrongs done against a neighbor constitute</w:t>
            </w:r>
            <w:r>
              <w:t xml:space="preserve"> </w:t>
            </w:r>
            <w:r>
              <w:t xml:space="preserve">“unfaithfulness against the LORD”</w:t>
            </w:r>
            <w:r>
              <w:t xml:space="preserve"> </w:t>
            </w:r>
            <w:r>
              <w:t xml:space="preserve">(מַעַל בַּיהוָה).</w:t>
            </w:r>
          </w:p>
        </w:tc>
        <w:tc>
          <w:tcPr/>
          <w:p>
            <w:pPr>
              <w:pStyle w:val="Compact"/>
            </w:pPr>
            <w:r>
              <w:t xml:space="preserve">The ma’al framing elevates social sin to the level of covenant infidelity. Critical theological move.</w:t>
            </w:r>
          </w:p>
        </w:tc>
      </w:tr>
      <w:tr>
        <w:tc>
          <w:tcPr/>
          <w:p>
            <w:pPr>
              <w:pStyle w:val="Compact"/>
            </w:pPr>
            <w:r>
              <w:t xml:space="preserve">7</w:t>
            </w:r>
          </w:p>
        </w:tc>
        <w:tc>
          <w:tcPr/>
          <w:p>
            <w:pPr>
              <w:pStyle w:val="Compact"/>
            </w:pPr>
            <w:r>
              <w:t xml:space="preserve">The wrongdoer must confess the sin, make full restitution of the principal, and add one-fifth (twenty percent).</w:t>
            </w:r>
          </w:p>
        </w:tc>
        <w:tc>
          <w:tcPr/>
          <w:p>
            <w:pPr>
              <w:pStyle w:val="Compact"/>
            </w:pPr>
            <w:r>
              <w:t xml:space="preserve">Confession precedes restitution. Both are required — neither alone is sufficient.</w:t>
            </w:r>
          </w:p>
        </w:tc>
      </w:tr>
      <w:tr>
        <w:tc>
          <w:tcPr/>
          <w:p>
            <w:pPr>
              <w:pStyle w:val="Compact"/>
            </w:pPr>
            <w:r>
              <w:t xml:space="preserve">8</w:t>
            </w:r>
          </w:p>
        </w:tc>
        <w:tc>
          <w:tcPr/>
          <w:p>
            <w:pPr>
              <w:pStyle w:val="Compact"/>
            </w:pPr>
            <w:r>
              <w:t xml:space="preserve">If the wronged party has no kinsman-redeemer (גֹּאֵל), restitution is made to the LORD through the priest, plus the ram of atonement.</w:t>
            </w:r>
          </w:p>
        </w:tc>
        <w:tc>
          <w:tcPr/>
          <w:p>
            <w:pPr>
              <w:pStyle w:val="Compact"/>
            </w:pPr>
            <w:r>
              <w:t xml:space="preserve">The LORD as ultimate go’el — when no human redeemer exists, God receives what is due.</w:t>
            </w:r>
          </w:p>
        </w:tc>
      </w:tr>
      <w:tr>
        <w:tc>
          <w:tcPr/>
          <w:p>
            <w:pPr>
              <w:pStyle w:val="Compact"/>
            </w:pPr>
            <w:r>
              <w:t xml:space="preserve">9–10</w:t>
            </w:r>
          </w:p>
        </w:tc>
        <w:tc>
          <w:tcPr/>
          <w:p>
            <w:pPr>
              <w:pStyle w:val="Compact"/>
            </w:pPr>
            <w:r>
              <w:t xml:space="preserve">Contributed sacred gifts belong to the priest; each man’s sacred gifts are his own but may be given to the priest.</w:t>
            </w:r>
          </w:p>
        </w:tc>
        <w:tc>
          <w:tcPr/>
          <w:p>
            <w:pPr>
              <w:pStyle w:val="Compact"/>
            </w:pPr>
            <w:r>
              <w:t xml:space="preserve">Transition / supplementary note on priestly portions.</w:t>
            </w:r>
          </w:p>
        </w:tc>
      </w:tr>
      <w:tr>
        <w:tc>
          <w:tcPr/>
          <w:p>
            <w:pPr>
              <w:pStyle w:val="Compact"/>
            </w:pPr>
            <w:r>
              <w:t xml:space="preserve">11–14</w:t>
            </w:r>
          </w:p>
        </w:tc>
        <w:tc>
          <w:tcPr/>
          <w:p>
            <w:pPr>
              <w:pStyle w:val="Compact"/>
            </w:pPr>
            <w:r>
              <w:t xml:space="preserve">The LORD addresses the case of a wife suspected of infidelity by her husband — either with or without actual grounds (the jealousy is real even if the act is not).</w:t>
            </w:r>
          </w:p>
        </w:tc>
        <w:tc>
          <w:tcPr/>
          <w:p>
            <w:pPr>
              <w:pStyle w:val="Compact"/>
            </w:pPr>
            <w:r>
              <w:t xml:space="preserve">Two scenarios distinguished: actual adultery vs. unfounded suspicion. Both are addressed. The procedure covers both because neither can be humanly adjudicated.</w:t>
            </w:r>
          </w:p>
        </w:tc>
      </w:tr>
      <w:tr>
        <w:tc>
          <w:tcPr/>
          <w:p>
            <w:pPr>
              <w:pStyle w:val="Compact"/>
            </w:pPr>
            <w:r>
              <w:t xml:space="preserve">15</w:t>
            </w:r>
          </w:p>
        </w:tc>
        <w:tc>
          <w:tcPr/>
          <w:p>
            <w:pPr>
              <w:pStyle w:val="Compact"/>
            </w:pPr>
            <w:r>
              <w:t xml:space="preserve">The husband brings his wife to the priest with a jealousy offering (barley meal — no oil or incense, unlike most grain offerings).</w:t>
            </w:r>
          </w:p>
        </w:tc>
        <w:tc>
          <w:tcPr/>
          <w:p>
            <w:pPr>
              <w:pStyle w:val="Compact"/>
            </w:pPr>
            <w:r>
              <w:t xml:space="preserve">The absence of oil and incense signals this is not a celebratory or atonement offering — it is an investigation, a bringing of a matter before God.</w:t>
            </w:r>
          </w:p>
        </w:tc>
      </w:tr>
      <w:tr>
        <w:tc>
          <w:tcPr/>
          <w:p>
            <w:pPr>
              <w:pStyle w:val="Compact"/>
            </w:pPr>
            <w:r>
              <w:t xml:space="preserve">16–18</w:t>
            </w:r>
          </w:p>
        </w:tc>
        <w:tc>
          <w:tcPr/>
          <w:p>
            <w:pPr>
              <w:pStyle w:val="Compact"/>
            </w:pPr>
            <w:r>
              <w:t xml:space="preserve">The priest brings the woman before the LORD, prepares the bitter water made holy, loosens her hair, and places the jealousy offering in her hands.</w:t>
            </w:r>
          </w:p>
        </w:tc>
        <w:tc>
          <w:tcPr/>
          <w:p>
            <w:pPr>
              <w:pStyle w:val="Compact"/>
            </w:pPr>
            <w:r>
              <w:t xml:space="preserve">The loosened hair may signal a state of ritual vulnerability/exposure. The holy water and dust from the tabernacle floor: the sacred space itself participates.</w:t>
            </w:r>
          </w:p>
        </w:tc>
      </w:tr>
      <w:tr>
        <w:tc>
          <w:tcPr/>
          <w:p>
            <w:pPr>
              <w:pStyle w:val="Compact"/>
            </w:pPr>
            <w:r>
              <w:t xml:space="preserve">19–22</w:t>
            </w:r>
          </w:p>
        </w:tc>
        <w:tc>
          <w:tcPr/>
          <w:p>
            <w:pPr>
              <w:pStyle w:val="Compact"/>
            </w:pPr>
            <w:r>
              <w:t xml:space="preserve">The priest administers an oath: if innocent, the water will not harm; if guilty, the water will cause physical harm — a</w:t>
            </w:r>
            <w:r>
              <w:t xml:space="preserve"> </w:t>
            </w:r>
            <w:r>
              <w:t xml:space="preserve">“curse among her people.”</w:t>
            </w:r>
          </w:p>
        </w:tc>
        <w:tc>
          <w:tcPr/>
          <w:p>
            <w:pPr>
              <w:pStyle w:val="Compact"/>
            </w:pPr>
            <w:r>
              <w:t xml:space="preserve">The oath structure places the judgment entirely with God. The woman speaks:</w:t>
            </w:r>
            <w:r>
              <w:t xml:space="preserve"> </w:t>
            </w:r>
            <w:r>
              <w:t xml:space="preserve">“Amen, amen.”</w:t>
            </w:r>
            <w:r>
              <w:t xml:space="preserve"> </w:t>
            </w:r>
            <w:r>
              <w:t xml:space="preserve">Her consent is part of the procedure.</w:t>
            </w:r>
          </w:p>
        </w:tc>
      </w:tr>
      <w:tr>
        <w:tc>
          <w:tcPr/>
          <w:p>
            <w:pPr>
              <w:pStyle w:val="Compact"/>
            </w:pPr>
            <w:r>
              <w:t xml:space="preserve">23–24</w:t>
            </w:r>
          </w:p>
        </w:tc>
        <w:tc>
          <w:tcPr/>
          <w:p>
            <w:pPr>
              <w:pStyle w:val="Compact"/>
            </w:pPr>
            <w:r>
              <w:t xml:space="preserve">The priest writes the curses, washes them into the bitter water, and gives it to the woman to drink.</w:t>
            </w:r>
          </w:p>
        </w:tc>
        <w:tc>
          <w:tcPr/>
          <w:p>
            <w:pPr>
              <w:pStyle w:val="Compact"/>
            </w:pPr>
            <w:r>
              <w:t xml:space="preserve">The written curses dissolving into the water: the words themselves — God’s words of judgment — become part of what she ingests. Remarkable enacted theology.</w:t>
            </w:r>
          </w:p>
        </w:tc>
      </w:tr>
      <w:tr>
        <w:tc>
          <w:tcPr/>
          <w:p>
            <w:pPr>
              <w:pStyle w:val="Compact"/>
            </w:pPr>
            <w:r>
              <w:t xml:space="preserve">25–26</w:t>
            </w:r>
          </w:p>
        </w:tc>
        <w:tc>
          <w:tcPr/>
          <w:p>
            <w:pPr>
              <w:pStyle w:val="Compact"/>
            </w:pPr>
            <w:r>
              <w:t xml:space="preserve">The priest takes the grain offering, waves it, burns a memorial portion on the altar, and then gives the water to drink.</w:t>
            </w:r>
          </w:p>
        </w:tc>
        <w:tc>
          <w:tcPr/>
          <w:p>
            <w:pPr>
              <w:pStyle w:val="Compact"/>
            </w:pPr>
            <w:r>
              <w:t xml:space="preserve">Full priestly procedure maintained throughout — the ordeal is embedded in regular sacrificial worship, not isolated from it.</w:t>
            </w:r>
          </w:p>
        </w:tc>
      </w:tr>
      <w:tr>
        <w:tc>
          <w:tcPr/>
          <w:p>
            <w:pPr>
              <w:pStyle w:val="Compact"/>
            </w:pPr>
            <w:r>
              <w:t xml:space="preserve">27</w:t>
            </w:r>
          </w:p>
        </w:tc>
        <w:tc>
          <w:tcPr/>
          <w:p>
            <w:pPr>
              <w:pStyle w:val="Compact"/>
            </w:pPr>
            <w:r>
              <w:t xml:space="preserve">If guilty: the water causes physical harm and she becomes</w:t>
            </w:r>
            <w:r>
              <w:t xml:space="preserve"> </w:t>
            </w:r>
            <w:r>
              <w:t xml:space="preserve">“an accursed example among her people.”</w:t>
            </w:r>
          </w:p>
        </w:tc>
        <w:tc>
          <w:tcPr/>
          <w:p>
            <w:pPr>
              <w:pStyle w:val="Compact"/>
            </w:pPr>
            <w:r>
              <w:t xml:space="preserve">The specific physical effects described (swollen belly, wasted thigh) are medically ambiguous but clearly signify a visible, undeniable divine verdict.</w:t>
            </w:r>
          </w:p>
        </w:tc>
      </w:tr>
      <w:tr>
        <w:tc>
          <w:tcPr/>
          <w:p>
            <w:pPr>
              <w:pStyle w:val="Compact"/>
            </w:pPr>
            <w:r>
              <w:t xml:space="preserve">28</w:t>
            </w:r>
          </w:p>
        </w:tc>
        <w:tc>
          <w:tcPr/>
          <w:p>
            <w:pPr>
              <w:pStyle w:val="Compact"/>
            </w:pPr>
            <w:r>
              <w:t xml:space="preserve">If innocent: she will be unharmed and will conceive children.</w:t>
            </w:r>
          </w:p>
        </w:tc>
        <w:tc>
          <w:tcPr/>
          <w:p>
            <w:pPr>
              <w:pStyle w:val="Compact"/>
            </w:pPr>
            <w:r>
              <w:t xml:space="preserve">Vindication is positive, not merely neutral — she is blessed with fertility, not merely cleared.</w:t>
            </w:r>
          </w:p>
        </w:tc>
      </w:tr>
      <w:tr>
        <w:tc>
          <w:tcPr/>
          <w:p>
            <w:pPr>
              <w:pStyle w:val="Compact"/>
            </w:pPr>
            <w:r>
              <w:t xml:space="preserve">29–30</w:t>
            </w:r>
          </w:p>
        </w:tc>
        <w:tc>
          <w:tcPr/>
          <w:p>
            <w:pPr>
              <w:pStyle w:val="Compact"/>
            </w:pPr>
            <w:r>
              <w:t xml:space="preserve">Summary of the law for cases of jealousy.</w:t>
            </w:r>
          </w:p>
        </w:tc>
        <w:tc>
          <w:tcPr/>
          <w:p>
            <w:pPr>
              <w:pStyle w:val="Compact"/>
            </w:pPr>
            <w:r>
              <w:t xml:space="preserve">Canonical summary formula.</w:t>
            </w:r>
          </w:p>
        </w:tc>
      </w:tr>
      <w:tr>
        <w:tc>
          <w:tcPr/>
          <w:p>
            <w:pPr>
              <w:pStyle w:val="Compact"/>
            </w:pPr>
            <w:r>
              <w:t xml:space="preserve">31</w:t>
            </w:r>
          </w:p>
        </w:tc>
        <w:tc>
          <w:tcPr/>
          <w:p>
            <w:pPr>
              <w:pStyle w:val="Compact"/>
            </w:pPr>
            <w:r>
              <w:t xml:space="preserve">The husband is clear of guilt; the woman bears the consequences of her own guilt.</w:t>
            </w:r>
          </w:p>
        </w:tc>
        <w:tc>
          <w:tcPr/>
          <w:p>
            <w:pPr>
              <w:pStyle w:val="Compact"/>
            </w:pPr>
            <w:r>
              <w:t xml:space="preserve">Responsibility is assigned appropriately: the husband’s suspicion does not make him guilty; the woman’s guilt (if real) is her own.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Holy Camp: Removing Physical Defilement from God’s Dwelling</w:t>
            </w:r>
          </w:p>
        </w:tc>
      </w:tr>
      <w:tr>
        <w:tc>
          <w:tcPr/>
          <w:p>
            <w:pPr>
              <w:pStyle w:val="Compact"/>
            </w:pPr>
            <w:r>
              <w:t xml:space="preserve">2</w:t>
            </w:r>
          </w:p>
        </w:tc>
        <w:tc>
          <w:tcPr/>
          <w:p>
            <w:pPr>
              <w:pStyle w:val="Compact"/>
            </w:pPr>
            <w:r>
              <w:t xml:space="preserve">5–10</w:t>
            </w:r>
          </w:p>
        </w:tc>
        <w:tc>
          <w:tcPr/>
          <w:p>
            <w:pPr>
              <w:pStyle w:val="Compact"/>
            </w:pPr>
            <w:r>
              <w:t xml:space="preserve">Hidden Social Sin: Restitution as Covenant Faithfulness</w:t>
            </w:r>
          </w:p>
        </w:tc>
      </w:tr>
      <w:tr>
        <w:tc>
          <w:tcPr/>
          <w:p>
            <w:pPr>
              <w:pStyle w:val="Compact"/>
            </w:pPr>
            <w:r>
              <w:t xml:space="preserve">3</w:t>
            </w:r>
          </w:p>
        </w:tc>
        <w:tc>
          <w:tcPr/>
          <w:p>
            <w:pPr>
              <w:pStyle w:val="Compact"/>
            </w:pPr>
            <w:r>
              <w:t xml:space="preserve">11–31</w:t>
            </w:r>
          </w:p>
        </w:tc>
        <w:tc>
          <w:tcPr/>
          <w:p>
            <w:pPr>
              <w:pStyle w:val="Compact"/>
            </w:pPr>
            <w:r>
              <w:t xml:space="preserve">Hidden Relational Sin: The Sotah Ordeal and the Jurisdiction of God</w:t>
            </w:r>
          </w:p>
        </w:tc>
      </w:tr>
    </w:tbl>
    <w:p>
      <w:r>
        <w:pict>
          <v:rect style="width:0;height:1.5pt" o:hralign="center" o:hrstd="t" o:hr="t"/>
        </w:pict>
      </w:r>
    </w:p>
    <w:p>
      <w:pPr>
        <w:pStyle w:val="FirstParagraph"/>
      </w:pPr>
      <w:r>
        <w:rPr>
          <w:b/>
          <w:bCs/>
        </w:rPr>
        <w:t xml:space="preserve">Subject Sentence:</w:t>
      </w:r>
      <w:r>
        <w:t xml:space="preserve"> </w:t>
      </w:r>
      <w:r>
        <w:t xml:space="preserve">God’s dwelling among His people demands and enables complete holiness — outward, moral, and relational.</w:t>
      </w:r>
    </w:p>
    <w:p>
      <w:pPr>
        <w:pStyle w:val="BodyText"/>
      </w:pPr>
      <w:r>
        <w:rPr>
          <w:b/>
          <w:bCs/>
        </w:rPr>
        <w:t xml:space="preserve">Primary Claim:</w:t>
      </w:r>
      <w:r>
        <w:t xml:space="preserve"> </w:t>
      </w:r>
      <w:r>
        <w:t xml:space="preserve">The LORD who dwells in Israel’s midst is not a distant or indifferent deity — His presence is holy, His jurisdiction total, and His provision of cleansing structures an act of grace that protects both His people and His nearness to them. Israel must reckon with the full weight of what it means to live under the immediate rule of a holy God, and trust that the structures He provides are mercy, not burden.</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Reckon seriously with the holiness of God’s presence in your life.</w:t>
      </w:r>
      <w:r>
        <w:t xml:space="preserve"> </w:t>
      </w:r>
      <w:r>
        <w:rPr>
          <w:i/>
          <w:iCs/>
        </w:rPr>
        <w:t xml:space="preserve">(Mind/Belief)</w:t>
      </w:r>
      <w:r>
        <w:t xml:space="preserve"> </w:t>
      </w:r>
      <w:r>
        <w:t xml:space="preserve">Israel was not permitted to treat the LORD’s presence in the camp as background furniture — something acknowledged on festival days and otherwise ignored. The exclusion regulations of verses 1–4 exist precisely because God’s dwelling is not decorative. For the believer in whom the Spirit dwells (1 Corinthians 6:19), and for the church in which God lives by His Spirit (Ephesians 2:22), the same logic applies. The question Numbers 5 presses upon the reader is not</w:t>
      </w:r>
      <w:r>
        <w:t xml:space="preserve"> </w:t>
      </w:r>
      <w:r>
        <w:t xml:space="preserve">“Do you believe God is holy?”</w:t>
      </w:r>
      <w:r>
        <w:t xml:space="preserve"> </w:t>
      </w:r>
      <w:r>
        <w:t xml:space="preserve">but</w:t>
      </w:r>
      <w:r>
        <w:t xml:space="preserve"> </w:t>
      </w:r>
      <w:r>
        <w:t xml:space="preserve">“Are you living as if He is</w:t>
      </w:r>
      <w:r>
        <w:t xml:space="preserve"> </w:t>
      </w:r>
      <w:r>
        <w:rPr>
          <w:i/>
          <w:iCs/>
        </w:rPr>
        <w:t xml:space="preserve">here</w:t>
      </w:r>
      <w:r>
        <w:t xml:space="preserve">, holy, and near?”</w:t>
      </w:r>
      <w:r>
        <w:t xml:space="preserve"> </w:t>
      </w:r>
      <w:r>
        <w:t xml:space="preserve">These are different questions. The first is doctrinal assent; the second is the formation this passage is after.</w:t>
      </w:r>
    </w:p>
    <w:p>
      <w:pPr>
        <w:pStyle w:val="BodyText"/>
      </w:pPr>
      <w:r>
        <w:rPr>
          <w:b/>
          <w:bCs/>
        </w:rPr>
        <w:t xml:space="preserve">2. Stop treating sins against people as a separate category from sins against God.</w:t>
      </w:r>
      <w:r>
        <w:t xml:space="preserve"> </w:t>
      </w:r>
      <w:r>
        <w:rPr>
          <w:i/>
          <w:iCs/>
        </w:rPr>
        <w:t xml:space="preserve">(Mind/Belief)</w:t>
      </w:r>
      <w:r>
        <w:t xml:space="preserve"> </w:t>
      </w:r>
      <w:r>
        <w:t xml:space="preserve">The ma’al framing of verses 5–6 is a direct assault on the compartmentalization that human beings instinctively apply to ethics. We readily frame interpersonal wrongs as horizontal matters — between me and the person I wronged — and reserve</w:t>
      </w:r>
      <w:r>
        <w:t xml:space="preserve"> </w:t>
      </w:r>
      <w:r>
        <w:t xml:space="preserve">“religious”</w:t>
      </w:r>
      <w:r>
        <w:t xml:space="preserve"> </w:t>
      </w:r>
      <w:r>
        <w:t xml:space="preserve">categories for worship failures or doctrinal error. The text refuses this division. To defraud a neighbor, to withhold what is owed, to take what is not yours — this is</w:t>
      </w:r>
      <w:r>
        <w:t xml:space="preserve"> </w:t>
      </w:r>
      <w:r>
        <w:t xml:space="preserve">“unfaithfulness against the LORD.”</w:t>
      </w:r>
      <w:r>
        <w:t xml:space="preserve"> </w:t>
      </w:r>
      <w:r>
        <w:t xml:space="preserve">The confession and restitution required are not merely social repair; they are acts of covenant fidelity toward God. The reader who has wronged someone and made peace with it privately while telling himself it’s between him and that person has not grasped what this text is saying.</w:t>
      </w:r>
    </w:p>
    <w:p>
      <w:pPr>
        <w:pStyle w:val="BodyText"/>
      </w:pPr>
      <w:r>
        <w:rPr>
          <w:b/>
          <w:bCs/>
        </w:rPr>
        <w:t xml:space="preserve">3. Bring hidden sin before God rather than managing it privately.</w:t>
      </w:r>
      <w:r>
        <w:t xml:space="preserve"> </w:t>
      </w:r>
      <w:r>
        <w:rPr>
          <w:i/>
          <w:iCs/>
        </w:rPr>
        <w:t xml:space="preserve">(Affections/Worship)</w:t>
      </w:r>
      <w:r>
        <w:t xml:space="preserve"> </w:t>
      </w:r>
      <w:r>
        <w:t xml:space="preserve">The genius of the sotah ordeal — uncomfortable as it is — is that it takes situations that no human court can adjudicate and places them directly before the God who sees all hidden things. The ordeal is not cruel; it is a mercy to both the innocent and the guilty, because it refuses to leave unresolved what is in fact already known to God. The reader who carries hidden sin — the infidelity no one knows about, the financial dishonesty concealed behind acceptable appearances, the sin managed privately without genuine confession — is not managing anything. God sees it. The posture Numbers 5 calls for is not management but exposure — bringing what is hidden before the God who already knows, and trusting that His judgment, even when costly, is better than the weight of carrying what He has already seen.</w:t>
      </w:r>
    </w:p>
    <w:p>
      <w:pPr>
        <w:pStyle w:val="BodyText"/>
      </w:pPr>
      <w:r>
        <w:rPr>
          <w:b/>
          <w:bCs/>
        </w:rPr>
        <w:t xml:space="preserve">4. Trust that God’s holiness-structures are for your good, not your oppression.</w:t>
      </w:r>
      <w:r>
        <w:t xml:space="preserve"> </w:t>
      </w:r>
      <w:r>
        <w:rPr>
          <w:i/>
          <w:iCs/>
        </w:rPr>
        <w:t xml:space="preserve">(Affections/Worship)</w:t>
      </w:r>
      <w:r>
        <w:t xml:space="preserve"> </w:t>
      </w:r>
      <w:r>
        <w:t xml:space="preserve">The regulations of Numbers 5 can read, to the modern eye, as a burden — rituals, exclusions, ordeals. But in every case the structure is preserving something: the excluded person is not abandoned (they remain Israel — just outside the camp during their uncleanness); the wronged party receives restitution; the innocent wife is publicly vindicated and blessed. God does not provide these structures to make Israel miserable. He provides them because He intends to remain near — and His nearness requires that the conditions for nearness be maintained. The reader who chafes at the disciplines of holiness, the structures of accountability, the requirements of confession and restitution, is misreading the motive. These are the conditions under which God stays close. They are mercies.</w:t>
      </w:r>
    </w:p>
    <w:p>
      <w:pPr>
        <w:pStyle w:val="BodyText"/>
      </w:pPr>
      <w:r>
        <w:rPr>
          <w:b/>
          <w:bCs/>
        </w:rPr>
        <w:t xml:space="preserve">5. Confess specifically and make restitution concretely.</w:t>
      </w:r>
      <w:r>
        <w:t xml:space="preserve"> </w:t>
      </w:r>
      <w:r>
        <w:rPr>
          <w:i/>
          <w:iCs/>
        </w:rPr>
        <w:t xml:space="preserve">(Will/Behavior)</w:t>
      </w:r>
      <w:r>
        <w:t xml:space="preserve"> </w:t>
      </w:r>
      <w:r>
        <w:t xml:space="preserve">Verses 6–7 do not allow for a generic, atmospheric sense of remorse. The law requires: confession of the specific sin, return of the principal in full, and a twenty-percent addition. The specificity is not legalism — it is the shape that genuine repentance takes when it involves taking something from someone. The application is direct: if you have wronged someone financially, relationally, or in reputation, the path of Numbers 5 is not</w:t>
      </w:r>
      <w:r>
        <w:t xml:space="preserve"> </w:t>
      </w:r>
      <w:r>
        <w:t xml:space="preserve">“I feel bad about it”</w:t>
      </w:r>
      <w:r>
        <w:t xml:space="preserve"> </w:t>
      </w:r>
      <w:r>
        <w:t xml:space="preserve">— it is specific confession to God and to the person wronged, and concrete action to restore what was taken. Identify the specific sin. Name it. Make it right in the fullest way available to you. This is what repentance looks like when it has a body.</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Numbers 5 teaches that God’s presence among His people is neither ceremonial nor passive — it is holy, active, and total in its jurisdiction. The chapter reveals that God’s holiness encompasses every domain of human life: the physical body, the social obligation, and the innermost relational covenant. It demonstrates that God is the ultimate kinsman-redeemer (go’el) when no human advocate exists, and the ultimate judge of what no human court can see. The sotah ordeal in particular reveals a God who refuses to abandon His people to the tyranny of unresolvable suspicion and hidden sin — He steps in as judge in situations where human justice is helpless. The chapter grounds Israel’s entire social and moral life in the covenant reality:</w:t>
      </w:r>
      <w:r>
        <w:t xml:space="preserve"> </w:t>
      </w:r>
      <w:r>
        <w:t xml:space="preserve">“I dwell among them”</w:t>
      </w:r>
      <w:r>
        <w:t xml:space="preserve"> </w:t>
      </w:r>
      <w:r>
        <w:t xml:space="preserve">is not a claim about proximity alone but about total lordship over every dimension of communal life.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Numbers 5 is a sustained enacted display of two foundational Reformed convictions. First, the sovereignty of God extends over every domain — physical, social, moral, relational — and there is no sphere of human life where His jurisdiction does not reach. The ma’al framing of social sin is not incidental; it is the covenant principle that all of life is lived coram Deo, before the face of God, and that no wrong is merely horizontal. Second, God’s provision for sin — at every level — is not an afterthought or a bureaucratic concession but an act of grace. The exclusion of the unclean preserves the community; the restitution law restores the wronged; the sotah ordeal protects the innocent and vindicates God’s knowledge of the guilty. These are mercy-structures, not oppression-structures. Reformed theology’s insistence on the total claims of God’s law and the total provision of His grace are both on display here, anticipating the new covenant fulfillment in which Christ bears the curse that the guilty deserve and fully vindicates those who are His.</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God is not a distant deity who occasionally notices what His people do. He dwells among them — which means He sees everything: the physical defilement, the financial dishonesty, the hidden infidelity. And He has provided, in His grace, structures for every one of these — not to crush His people but to keep them near. The weight of Numbers 5 is not burden; it is the seriousness of the privilege. You live before a God who is present, holy, and close enough to be defiled by — and gracious enough to provide the way back. Take both sides of that with your whole life.</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Preaching the sotah ordeal as primitive magic or ancient superstition.</w:t>
      </w:r>
      <w:r>
        <w:t xml:space="preserve"> </w:t>
      </w:r>
      <w:r>
        <w:t xml:space="preserve">The most common failure with Numbers 5:11–31 is to treat the bitter water ordeal as an embarrassing relic of pre-scientific religion that the contemporary expositor must explain away or minimize. This misses the passage’s actual theological weight entirely. The ordeal is not magic — it is enacted acknowledgment that God is the final judge of what human courts cannot adjudicate. Expositors who skip, hurry past, or apologize for this section deprive their congregations of a profound encounter with the sovereignty and omniscience of God.</w:t>
      </w:r>
    </w:p>
    <w:p>
      <w:pPr>
        <w:numPr>
          <w:ilvl w:val="0"/>
          <w:numId w:val="1002"/>
        </w:numPr>
      </w:pPr>
      <w:r>
        <w:rPr>
          <w:b/>
          <w:bCs/>
        </w:rPr>
        <w:t xml:space="preserve">Reading the three sections as unconnected legal miscellany.</w:t>
      </w:r>
      <w:r>
        <w:t xml:space="preserve"> </w:t>
      </w:r>
      <w:r>
        <w:t xml:space="preserve">It is tempting to treat Numbers 5 as three unrelated legal provisions bundled together by accident of proximity. This loses the chapter’s organizing logic entirely. The three sections form a graduated movement from outward/physical defilement (vv. 1–4), to moral/social defilement (vv. 5–10), to intimate/covenantal defilement (vv. 11–31). They are a unified statement about the total reach of holiness in the presence of the dwelling God. Preach the chapter’s architecture, not just its parts.</w:t>
      </w:r>
    </w:p>
    <w:p>
      <w:pPr>
        <w:numPr>
          <w:ilvl w:val="0"/>
          <w:numId w:val="1002"/>
        </w:numPr>
      </w:pPr>
      <w:r>
        <w:rPr>
          <w:b/>
          <w:bCs/>
        </w:rPr>
        <w:t xml:space="preserve">Reducing the restitution law to a financial ethics lesson.</w:t>
      </w:r>
      <w:r>
        <w:t xml:space="preserve"> </w:t>
      </w:r>
      <w:r>
        <w:t xml:space="preserve">The ma’al framing of verses 5–6 is the theological key to the entire middle section. To preach</w:t>
      </w:r>
      <w:r>
        <w:t xml:space="preserve"> </w:t>
      </w:r>
      <w:r>
        <w:t xml:space="preserve">“pay your debts and make things right”</w:t>
      </w:r>
      <w:r>
        <w:t xml:space="preserve"> </w:t>
      </w:r>
      <w:r>
        <w:t xml:space="preserve">without the ma’al framing is to produce a moralism lecture dressed in biblical clothing. The point is not primarily that restitution is good social policy — it is that wronging a neighbor is covenant infidelity against God, and that repair must therefore be both social (restitution to the person) and covenantal (confession before God). The vertical dimension is not decoration; it is the engine.</w:t>
      </w:r>
    </w:p>
    <w:p>
      <w:pPr>
        <w:numPr>
          <w:ilvl w:val="0"/>
          <w:numId w:val="1002"/>
        </w:numPr>
      </w:pPr>
      <w:r>
        <w:rPr>
          <w:b/>
          <w:bCs/>
        </w:rPr>
        <w:t xml:space="preserve">Treating the exclusion of the unclean as primarily about hygiene or social management.</w:t>
      </w:r>
      <w:r>
        <w:t xml:space="preserve"> </w:t>
      </w:r>
      <w:r>
        <w:t xml:space="preserve">The text is explicit that the ground for exclusion is theological:</w:t>
      </w:r>
      <w:r>
        <w:t xml:space="preserve"> </w:t>
      </w:r>
      <w:r>
        <w:t xml:space="preserve">“so that they will not defile their camps, where I dwell among them”</w:t>
      </w:r>
      <w:r>
        <w:t xml:space="preserve"> </w:t>
      </w:r>
      <w:r>
        <w:t xml:space="preserve">(v. 3). Expositors who frame this as sanitation policy or social order miss the enacted theology the passage is performing. Israel is being formed to understand holiness as categorically distinct from the realm of death, and the camp as a zone constituted by the life-giving presence of the LORD.</w:t>
      </w:r>
    </w:p>
    <w:p>
      <w:pPr>
        <w:numPr>
          <w:ilvl w:val="0"/>
          <w:numId w:val="1002"/>
        </w:numPr>
      </w:pPr>
      <w:r>
        <w:rPr>
          <w:b/>
          <w:bCs/>
        </w:rPr>
        <w:t xml:space="preserve">Failing to draw the canonical trajectory to the new covenant without over-allegorizing.</w:t>
      </w:r>
      <w:r>
        <w:t xml:space="preserve"> </w:t>
      </w:r>
      <w:r>
        <w:t xml:space="preserve">The specific ritual structures of Numbers 5 are Mosaic and not directly transferable. But the theological principles — God’s presence demands holiness, hidden sin is under His jurisdiction, He provides mercy-structures for cleansing — are explicitly carried forward in 1 Corinthians 3, 2 Corinthians 6–7, and Revelation 21–22. The expositor should draw this trajectory clearly without turning the sotah ordeal into an allegory for something else. Let the principle travel canonically; let the specific form remain in its own historical context.</w:t>
      </w:r>
    </w:p>
    <w:p>
      <w:pPr>
        <w:numPr>
          <w:ilvl w:val="0"/>
          <w:numId w:val="1002"/>
        </w:numPr>
      </w:pPr>
      <w:r>
        <w:rPr>
          <w:b/>
          <w:bCs/>
        </w:rPr>
        <w:t xml:space="preserve">Preaching Numbers 5 without the gospel.</w:t>
      </w:r>
      <w:r>
        <w:t xml:space="preserve"> </w:t>
      </w:r>
      <w:r>
        <w:t xml:space="preserve">Every section of this chapter confronts the reader with a standard they cannot meet unaided. The excluded person cannot cleanse themselves. The wrongdoer cannot undo the wrong without a provision of grace. The guilty wife under the ordeal has nowhere to hide. The chapter generates a profound need for a mediator, a redeemer, and a final atonement. The expositor who preaches Numbers 5 without moving to Christ has left the congregation under the weight of the law without the gospel that alone makes the law’s demands liveable. Christ bears the curse the guilty deserve (Galatians 3:13); He is the kinsman-redeemer for those who have no advocate (1 John 2:1); He cleanses what no ritual water can reach (Hebrews 9:14). Preach the law at full weight — and then preach the One who fulfills it.</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2026-07-14T21:01:47Z</dcterms:created>
  <dcterms:modified xsi:type="dcterms:W3CDTF">2026-07-14T21:01:47Z</dcterms:modified>
</cp:coreProperties>
</file>

<file path=docProps/custom.xml><?xml version="1.0" encoding="utf-8"?>
<Properties xmlns="http://schemas.openxmlformats.org/officeDocument/2006/custom-properties" xmlns:vt="http://schemas.openxmlformats.org/officeDocument/2006/docPropsVTypes"/>
</file>